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4762"/>
        <w:gridCol w:w="4762"/>
      </w:tblGrid>
      <w:tr>
        <w:tc>
          <w:tcPr>
            <w:tcW w:type="dxa" w:w="4762"/>
            <w:tcBorders>
              <w:bottom w:val="single" w:sz="4" w:color="d8dade"/>
            </w:tcBorders>
          </w:tcPr>
          <w:p>
            <w:pPr>
              <w:keepNext w:val="0"/>
              <w:spacing w:before="0" w:after="80" w:line="264" w:lineRule="auto"/>
            </w:pPr>
            <w:r>
              <w:rPr>
                <w:rFonts w:ascii="IBM Plex Mono" w:hAnsi="IBM Plex Mono" w:cs="IBM Plex Mono" w:eastAsia="IBM Plex Mono"/>
                <w:b/>
                <w:i w:val="0"/>
                <w:color w:val="6B7280"/>
                <w:sz w:val="15"/>
                <w:spacing w:val="40"/>
              </w:rPr>
              <w:t>FIRST LAST · CURRICULUM VITAE</w:t>
            </w:r>
          </w:p>
        </w:tc>
        <w:tc>
          <w:tcPr>
            <w:tcW w:type="dxa" w:w="4762"/>
            <w:tcBorders>
              <w:bottom w:val="single" w:sz="4" w:color="d8dade"/>
            </w:tcBorders>
          </w:tcPr>
          <w:p>
            <w:pPr>
              <w:keepNext w:val="0"/>
              <w:spacing w:before="0" w:after="80" w:line="264" w:lineRule="auto"/>
              <w:jc w:val="right"/>
            </w:pPr>
            <w:r>
              <w:rPr>
                <w:rFonts w:ascii="IBM Plex Mono" w:hAnsi="IBM Plex Mono" w:cs="IBM Plex Mono" w:eastAsia="IBM Plex Mono"/>
                <w:b/>
                <w:i w:val="0"/>
                <w:color w:val="5E1A1F"/>
                <w:sz w:val="15"/>
                <w:spacing w:val="40"/>
              </w:rPr>
              <w:t>COVER</w:t>
            </w:r>
          </w:p>
        </w:tc>
      </w:tr>
    </w:tbl>
    <w:tbl>
      <w:tblPr>
        <w:tblW w:type="auto" w:w="0"/>
        <w:tblLayout w:type="fixed"/>
        <w:tblLook w:firstColumn="1" w:firstRow="1" w:lastColumn="0" w:lastRow="0" w:noHBand="0" w:noVBand="1" w:val="04A0"/>
      </w:tblPr>
      <w:tblGrid>
        <w:gridCol w:w="6350"/>
        <w:gridCol w:w="3175"/>
      </w:tblGrid>
      <w:tr>
        <w:tc>
          <w:tcPr>
            <w:tcW w:type="dxa" w:w="6350"/>
            <w:vAlign w:val="center"/>
          </w:tcPr>
          <w:p>
            <w:pPr>
              <w:keepNext w:val="0"/>
              <w:spacing w:before="320" w:after="80" w:line="240" w:lineRule="auto"/>
            </w:pPr>
            <w:r>
              <w:rPr>
                <w:rFonts w:ascii="IBM Plex Sans" w:hAnsi="IBM Plex Sans" w:cs="IBM Plex Sans" w:eastAsia="IBM Plex Sans"/>
                <w:b/>
                <w:i w:val="0"/>
                <w:color w:val="14181F"/>
                <w:sz w:val="72"/>
              </w:rPr>
              <w:t>First Last</w:t>
            </w:r>
          </w:p>
          <w:p>
            <w:pPr>
              <w:keepNext w:val="0"/>
              <w:spacing w:before="0" w:after="40" w:line="276" w:lineRule="auto"/>
            </w:pPr>
            <w:r>
              <w:rPr>
                <w:rFonts w:ascii="IBM Plex Serif" w:hAnsi="IBM Plex Serif" w:cs="IBM Plex Serif" w:eastAsia="IBM Plex Serif"/>
                <w:b w:val="0"/>
                <w:i/>
                <w:color w:val="5E1A1F"/>
                <w:sz w:val="30"/>
              </w:rPr>
              <w:t>Senior FullStack Consultant</w:t>
            </w:r>
          </w:p>
          <w:p>
            <w:pPr>
              <w:keepNext w:val="0"/>
              <w:spacing w:before="0" w:after="360" w:line="288" w:lineRule="auto"/>
            </w:pPr>
            <w:r>
              <w:rPr>
                <w:rFonts w:ascii="IBM Plex Sans" w:hAnsi="IBM Plex Sans" w:cs="IBM Plex Sans" w:eastAsia="IBM Plex Sans"/>
                <w:b w:val="0"/>
                <w:i w:val="0"/>
                <w:color w:val="3A4150"/>
                <w:sz w:val="22"/>
              </w:rPr>
              <w:t>Software architecture, .NET, cloud</w:t>
            </w:r>
          </w:p>
        </w:tc>
        <w:tc>
          <w:tcPr>
            <w:tcW w:type="dxa" w:w="3175"/>
            <w:vAlign w:val="center"/>
            <w:shd w:val="clear" w:color="auto" w:fill="fbf9f6"/>
            <w:tcBorders>
              <w:top w:val="single" w:sz="12" w:color="5e1a1f"/>
              <w:left w:val="single" w:sz="12" w:color="5e1a1f"/>
              <w:right w:val="single" w:sz="12" w:color="5e1a1f"/>
              <w:bottom w:val="single" w:sz="12" w:color="5e1a1f"/>
            </w:tcBorders>
          </w:tcPr>
          <w:p>
            <w:pPr>
              <w:keepNext w:val="0"/>
              <w:spacing w:before="800" w:after="80" w:line="288" w:lineRule="auto"/>
              <w:jc w:val="center"/>
            </w:pPr>
            <w:r>
              <w:rPr>
                <w:rFonts w:ascii="IBM Plex Mono" w:hAnsi="IBM Plex Mono" w:cs="IBM Plex Mono" w:eastAsia="IBM Plex Mono"/>
                <w:b w:val="0"/>
                <w:i w:val="0"/>
                <w:color w:val="6B7280"/>
                <w:sz w:val="15"/>
                <w:spacing w:val="28"/>
              </w:rPr>
              <w:t>PORTRAIT 45 × 60 mm</w:t>
            </w:r>
          </w:p>
          <w:p>
            <w:pPr>
              <w:keepNext w:val="0"/>
              <w:spacing w:before="40" w:after="800" w:line="288" w:lineRule="auto"/>
              <w:jc w:val="center"/>
            </w:pPr>
            <w:r>
              <w:rPr>
                <w:rFonts w:ascii="IBM Plex Sans" w:hAnsi="IBM Plex Sans" w:cs="IBM Plex Sans" w:eastAsia="IBM Plex Sans"/>
                <w:b w:val="0"/>
                <w:i/>
                <w:color w:val="6B7280"/>
                <w:sz w:val="18"/>
              </w:rPr>
              <w:t>[insert photo]</w:t>
            </w:r>
          </w:p>
        </w:tc>
      </w:tr>
    </w:tbl>
    <w:p>
      <w:pPr>
        <w:keepNext w:val="0"/>
        <w:spacing w:before="280" w:after="0" w:line="240" w:lineRule="auto"/>
      </w:pPr>
    </w:p>
    <w:tbl>
      <w:tblPr>
        <w:tblW w:type="auto" w:w="0"/>
        <w:tblLayout w:type="fixed"/>
        <w:tblLook w:firstColumn="1" w:firstRow="1" w:lastColumn="0" w:lastRow="0" w:noHBand="0" w:noVBand="1" w:val="04A0"/>
      </w:tblPr>
      <w:tblGrid>
        <w:gridCol w:w="4762"/>
        <w:gridCol w:w="4762"/>
      </w:tblGrid>
      <w:tr>
        <w:tc>
          <w:tcPr>
            <w:tcW w:type="dxa" w:w="4762"/>
            <w:tcBorders>
              <w:top w:val="single" w:sz="2" w:color="d8dade"/>
            </w:tcBorders>
          </w:tcPr>
          <w:p>
            <w:pPr>
              <w:keepNext w:val="0"/>
              <w:spacing w:before="160" w:after="40" w:line="288" w:lineRule="auto"/>
            </w:pPr>
            <w:r>
              <w:rPr>
                <w:rFonts w:ascii="IBM Plex Mono" w:hAnsi="IBM Plex Mono" w:cs="IBM Plex Mono" w:eastAsia="IBM Plex Mono"/>
                <w:b/>
                <w:i w:val="0"/>
                <w:color w:val="6B7280"/>
                <w:sz w:val="15"/>
                <w:spacing w:val="36"/>
              </w:rPr>
              <w:t>EXPERIENCE</w:t>
            </w:r>
          </w:p>
          <w:p>
            <w:pPr>
              <w:keepNext w:val="0"/>
              <w:spacing w:before="0" w:after="160" w:line="324" w:lineRule="auto"/>
            </w:pPr>
            <w:r>
              <w:rPr>
                <w:rFonts w:ascii="IBM Plex Sans" w:hAnsi="IBM Plex Sans" w:cs="IBM Plex Sans" w:eastAsia="IBM Plex Sans"/>
                <w:b w:val="0"/>
                <w:i w:val="0"/>
                <w:color w:val="14181F"/>
                <w:sz w:val="21"/>
              </w:rPr>
              <w:t>10+ years of consulting and delivery</w:t>
            </w:r>
          </w:p>
        </w:tc>
        <w:tc>
          <w:tcPr>
            <w:tcW w:type="dxa" w:w="4762"/>
            <w:tcBorders>
              <w:top w:val="single" w:sz="2" w:color="d8dade"/>
            </w:tcBorders>
          </w:tcPr>
          <w:p>
            <w:pPr>
              <w:keepNext w:val="0"/>
              <w:spacing w:before="160" w:after="40" w:line="288" w:lineRule="auto"/>
            </w:pPr>
            <w:r>
              <w:rPr>
                <w:rFonts w:ascii="IBM Plex Mono" w:hAnsi="IBM Plex Mono" w:cs="IBM Plex Mono" w:eastAsia="IBM Plex Mono"/>
                <w:b/>
                <w:i w:val="0"/>
                <w:color w:val="6B7280"/>
                <w:sz w:val="15"/>
                <w:spacing w:val="36"/>
              </w:rPr>
              <w:t>INDUSTRIES</w:t>
            </w:r>
          </w:p>
          <w:p>
            <w:pPr>
              <w:keepNext w:val="0"/>
              <w:spacing w:before="0" w:after="160" w:line="324" w:lineRule="auto"/>
            </w:pPr>
            <w:r>
              <w:rPr>
                <w:rFonts w:ascii="IBM Plex Sans" w:hAnsi="IBM Plex Sans" w:cs="IBM Plex Sans" w:eastAsia="IBM Plex Sans"/>
                <w:b w:val="0"/>
                <w:i w:val="0"/>
                <w:color w:val="14181F"/>
                <w:sz w:val="21"/>
              </w:rPr>
              <w:t>Insurance, finance, semiconductors, public sector</w:t>
            </w:r>
          </w:p>
        </w:tc>
      </w:tr>
      <w:tr>
        <w:tc>
          <w:tcPr>
            <w:tcW w:type="dxa" w:w="4762"/>
            <w:tcBorders>
              <w:top w:val="single" w:sz="2" w:color="d8dade"/>
            </w:tcBorders>
          </w:tcPr>
          <w:p>
            <w:pPr>
              <w:keepNext w:val="0"/>
              <w:spacing w:before="160" w:after="40" w:line="288" w:lineRule="auto"/>
            </w:pPr>
            <w:r>
              <w:rPr>
                <w:rFonts w:ascii="IBM Plex Mono" w:hAnsi="IBM Plex Mono" w:cs="IBM Plex Mono" w:eastAsia="IBM Plex Mono"/>
                <w:b/>
                <w:i w:val="0"/>
                <w:color w:val="6B7280"/>
                <w:sz w:val="15"/>
                <w:spacing w:val="36"/>
              </w:rPr>
              <w:t>STACK</w:t>
            </w:r>
          </w:p>
          <w:p>
            <w:pPr>
              <w:keepNext w:val="0"/>
              <w:spacing w:before="0" w:after="160" w:line="324" w:lineRule="auto"/>
            </w:pPr>
            <w:r>
              <w:rPr>
                <w:rFonts w:ascii="IBM Plex Sans" w:hAnsi="IBM Plex Sans" w:cs="IBM Plex Sans" w:eastAsia="IBM Plex Sans"/>
                <w:b w:val="0"/>
                <w:i w:val="0"/>
                <w:color w:val="14181F"/>
                <w:sz w:val="21"/>
              </w:rPr>
              <w:t>.NET / Azure / Kubernetes / TypeScript</w:t>
            </w:r>
          </w:p>
        </w:tc>
        <w:tc>
          <w:tcPr>
            <w:tcW w:type="dxa" w:w="4762"/>
            <w:tcBorders>
              <w:top w:val="single" w:sz="2" w:color="d8dade"/>
            </w:tcBorders>
          </w:tcPr>
          <w:p>
            <w:pPr>
              <w:keepNext w:val="0"/>
              <w:spacing w:before="160" w:after="40" w:line="288" w:lineRule="auto"/>
            </w:pPr>
            <w:r>
              <w:rPr>
                <w:rFonts w:ascii="IBM Plex Mono" w:hAnsi="IBM Plex Mono" w:cs="IBM Plex Mono" w:eastAsia="IBM Plex Mono"/>
                <w:b/>
                <w:i w:val="0"/>
                <w:color w:val="6B7280"/>
                <w:sz w:val="15"/>
                <w:spacing w:val="36"/>
              </w:rPr>
              <w:t>MODE</w:t>
            </w:r>
          </w:p>
          <w:p>
            <w:pPr>
              <w:keepNext w:val="0"/>
              <w:spacing w:before="0" w:after="160" w:line="324" w:lineRule="auto"/>
            </w:pPr>
            <w:r>
              <w:rPr>
                <w:rFonts w:ascii="IBM Plex Sans" w:hAnsi="IBM Plex Sans" w:cs="IBM Plex Sans" w:eastAsia="IBM Plex Sans"/>
                <w:b w:val="0"/>
                <w:i w:val="0"/>
                <w:color w:val="14181F"/>
                <w:sz w:val="21"/>
              </w:rPr>
              <w:t>Permanent · consulting · embedded</w:t>
            </w:r>
          </w:p>
        </w:tc>
      </w:tr>
    </w:tbl>
    <w:p>
      <w:pPr>
        <w:keepNext w:val="0"/>
        <w:spacing w:before="440" w:after="0" w:line="240" w:lineRule="auto"/>
      </w:pPr>
    </w:p>
    <w:tbl>
      <w:tblPr>
        <w:tblW w:type="auto" w:w="0"/>
        <w:tblLayout w:type="fixed"/>
        <w:tblLook w:firstColumn="1" w:firstRow="1" w:lastColumn="0" w:lastRow="0" w:noHBand="0" w:noVBand="1" w:val="04A0"/>
      </w:tblPr>
      <w:tblGrid>
        <w:gridCol w:w="2381"/>
        <w:gridCol w:w="2381"/>
        <w:gridCol w:w="2381"/>
        <w:gridCol w:w="2381"/>
      </w:tblGrid>
      <w:tr>
        <w:tc>
          <w:tcPr>
            <w:tcW w:type="dxa" w:w="2381"/>
            <w:tcBorders>
              <w:top w:val="single" w:sz="4" w:color="14181f"/>
            </w:tcBorders>
          </w:tcPr>
          <w:p>
            <w:pPr>
              <w:keepNext w:val="0"/>
              <w:spacing w:before="80" w:after="40" w:line="264" w:lineRule="auto"/>
            </w:pPr>
            <w:r>
              <w:rPr>
                <w:rFonts w:ascii="IBM Plex Mono" w:hAnsi="IBM Plex Mono" w:cs="IBM Plex Mono" w:eastAsia="IBM Plex Mono"/>
                <w:b/>
                <w:i w:val="0"/>
                <w:color w:val="6B7280"/>
                <w:sz w:val="14"/>
                <w:spacing w:val="40"/>
              </w:rPr>
              <w:t>LOCATION</w:t>
            </w:r>
          </w:p>
        </w:tc>
        <w:tc>
          <w:tcPr>
            <w:tcW w:type="dxa" w:w="2381"/>
            <w:tcBorders>
              <w:top w:val="single" w:sz="4" w:color="14181f"/>
            </w:tcBorders>
          </w:tcPr>
          <w:p>
            <w:pPr>
              <w:keepNext w:val="0"/>
              <w:spacing w:before="80" w:after="40" w:line="264" w:lineRule="auto"/>
            </w:pPr>
            <w:r>
              <w:rPr>
                <w:rFonts w:ascii="IBM Plex Mono" w:hAnsi="IBM Plex Mono" w:cs="IBM Plex Mono" w:eastAsia="IBM Plex Mono"/>
                <w:b/>
                <w:i w:val="0"/>
                <w:color w:val="6B7280"/>
                <w:sz w:val="14"/>
                <w:spacing w:val="40"/>
              </w:rPr>
              <w:t>PHONE</w:t>
            </w:r>
          </w:p>
        </w:tc>
        <w:tc>
          <w:tcPr>
            <w:tcW w:type="dxa" w:w="2381"/>
            <w:tcBorders>
              <w:top w:val="single" w:sz="4" w:color="14181f"/>
            </w:tcBorders>
          </w:tcPr>
          <w:p>
            <w:pPr>
              <w:keepNext w:val="0"/>
              <w:spacing w:before="80" w:after="40" w:line="264" w:lineRule="auto"/>
            </w:pPr>
            <w:r>
              <w:rPr>
                <w:rFonts w:ascii="IBM Plex Mono" w:hAnsi="IBM Plex Mono" w:cs="IBM Plex Mono" w:eastAsia="IBM Plex Mono"/>
                <w:b/>
                <w:i w:val="0"/>
                <w:color w:val="6B7280"/>
                <w:sz w:val="14"/>
                <w:spacing w:val="40"/>
              </w:rPr>
              <w:t>EMAIL</w:t>
            </w:r>
          </w:p>
        </w:tc>
        <w:tc>
          <w:tcPr>
            <w:tcW w:type="dxa" w:w="2381"/>
            <w:tcBorders>
              <w:top w:val="single" w:sz="4" w:color="14181f"/>
            </w:tcBorders>
          </w:tcPr>
          <w:p>
            <w:pPr>
              <w:keepNext w:val="0"/>
              <w:spacing w:before="80" w:after="40" w:line="264" w:lineRule="auto"/>
            </w:pPr>
            <w:r>
              <w:rPr>
                <w:rFonts w:ascii="IBM Plex Mono" w:hAnsi="IBM Plex Mono" w:cs="IBM Plex Mono" w:eastAsia="IBM Plex Mono"/>
                <w:b/>
                <w:i w:val="0"/>
                <w:color w:val="6B7280"/>
                <w:sz w:val="14"/>
                <w:spacing w:val="40"/>
              </w:rPr>
              <w:t>WEB</w:t>
            </w:r>
          </w:p>
        </w:tc>
      </w:tr>
      <w:tr>
        <w:tc>
          <w:tcPr>
            <w:tcW w:type="dxa" w:w="2381"/>
          </w:tcPr>
          <w:p>
            <w:pPr>
              <w:keepNext w:val="0"/>
              <w:spacing w:before="0" w:after="120" w:line="288" w:lineRule="auto"/>
            </w:pPr>
            <w:r>
              <w:rPr>
                <w:rFonts w:ascii="IBM Plex Sans" w:hAnsi="IBM Plex Sans" w:cs="IBM Plex Sans" w:eastAsia="IBM Plex Sans"/>
                <w:b/>
                <w:i w:val="0"/>
                <w:color w:val="14181F"/>
                <w:sz w:val="19"/>
              </w:rPr>
              <w:t>City, Country</w:t>
            </w:r>
          </w:p>
        </w:tc>
        <w:tc>
          <w:tcPr>
            <w:tcW w:type="dxa" w:w="2381"/>
          </w:tcPr>
          <w:p>
            <w:pPr>
              <w:keepNext w:val="0"/>
              <w:spacing w:before="0" w:after="120" w:line="288" w:lineRule="auto"/>
            </w:pPr>
            <w:r>
              <w:rPr>
                <w:rFonts w:ascii="IBM Plex Sans" w:hAnsi="IBM Plex Sans" w:cs="IBM Plex Sans" w:eastAsia="IBM Plex Sans"/>
                <w:b/>
                <w:i w:val="0"/>
                <w:color w:val="14181F"/>
                <w:sz w:val="19"/>
              </w:rPr>
              <w:t>+49 ...</w:t>
            </w:r>
          </w:p>
        </w:tc>
        <w:tc>
          <w:tcPr>
            <w:tcW w:type="dxa" w:w="2381"/>
          </w:tcPr>
          <w:p>
            <w:pPr>
              <w:keepNext w:val="0"/>
              <w:spacing w:before="0" w:after="120" w:line="288" w:lineRule="auto"/>
            </w:pPr>
            <w:r>
              <w:rPr>
                <w:rFonts w:ascii="IBM Plex Sans" w:hAnsi="IBM Plex Sans" w:cs="IBM Plex Sans" w:eastAsia="IBM Plex Sans"/>
                <w:b/>
                <w:i w:val="0"/>
                <w:color w:val="14181F"/>
                <w:sz w:val="19"/>
              </w:rPr>
              <w:t>name@example.com</w:t>
            </w:r>
          </w:p>
        </w:tc>
        <w:tc>
          <w:tcPr>
            <w:tcW w:type="dxa" w:w="2381"/>
          </w:tcPr>
          <w:p>
            <w:pPr>
              <w:keepNext w:val="0"/>
              <w:spacing w:before="0" w:after="120" w:line="288" w:lineRule="auto"/>
            </w:pPr>
            <w:r>
              <w:rPr>
                <w:rFonts w:ascii="IBM Plex Sans" w:hAnsi="IBM Plex Sans" w:cs="IBM Plex Sans" w:eastAsia="IBM Plex Sans"/>
                <w:b/>
                <w:i w:val="0"/>
                <w:color w:val="14181F"/>
                <w:sz w:val="19"/>
              </w:rPr>
              <w:t>www.example.com</w:t>
            </w:r>
          </w:p>
        </w:tc>
      </w:tr>
    </w:tbl>
    <w:tbl>
      <w:tblPr>
        <w:tblW w:type="auto" w:w="0"/>
        <w:tblLayout w:type="fixed"/>
        <w:tblLook w:firstColumn="1" w:firstRow="1" w:lastColumn="0" w:lastRow="0" w:noHBand="0" w:noVBand="1" w:val="04A0"/>
      </w:tblPr>
      <w:tblGrid>
        <w:gridCol w:w="3175"/>
        <w:gridCol w:w="3175"/>
        <w:gridCol w:w="3175"/>
      </w:tblGrid>
      <w:tr>
        <w:tc>
          <w:tcPr>
            <w:tcW w:type="dxa" w:w="3175"/>
            <w:tcBorders>
              <w:top w:val="single" w:sz="2" w:color="d8dade"/>
            </w:tcBorders>
          </w:tcPr>
          <w:p>
            <w:pPr>
              <w:keepNext w:val="0"/>
              <w:spacing w:before="240" w:after="40" w:line="264" w:lineRule="auto"/>
              <w:jc w:val="left"/>
            </w:pPr>
            <w:r>
              <w:rPr>
                <w:rFonts w:ascii="IBM Plex Mono" w:hAnsi="IBM Plex Mono" w:cs="IBM Plex Mono" w:eastAsia="IBM Plex Mono"/>
                <w:b/>
                <w:i w:val="0"/>
                <w:color w:val="6B7280"/>
                <w:sz w:val="15"/>
                <w:spacing w:val="36"/>
              </w:rPr>
              <w:t>Your Consulting Practice (placeholder)</w:t>
            </w:r>
          </w:p>
        </w:tc>
        <w:tc>
          <w:tcPr>
            <w:tcW w:type="dxa" w:w="3175"/>
            <w:tcBorders>
              <w:top w:val="single" w:sz="2" w:color="d8dade"/>
            </w:tcBorders>
          </w:tcPr>
          <w:p>
            <w:pPr>
              <w:keepNext w:val="0"/>
              <w:spacing w:before="240" w:after="40" w:line="264" w:lineRule="auto"/>
              <w:jc w:val="center"/>
            </w:pPr>
            <w:r>
              <w:rPr>
                <w:rFonts w:ascii="IBM Plex Mono" w:hAnsi="IBM Plex Mono" w:cs="IBM Plex Mono" w:eastAsia="IBM Plex Mono"/>
                <w:b/>
                <w:i w:val="0"/>
                <w:color w:val="6B7280"/>
                <w:sz w:val="15"/>
                <w:spacing w:val="36"/>
              </w:rPr>
              <w:t>City · Country</w:t>
            </w:r>
          </w:p>
        </w:tc>
        <w:tc>
          <w:tcPr>
            <w:tcW w:type="dxa" w:w="3175"/>
            <w:tcBorders>
              <w:top w:val="single" w:sz="2" w:color="d8dade"/>
            </w:tcBorders>
          </w:tcPr>
          <w:p>
            <w:pPr>
              <w:keepNext w:val="0"/>
              <w:spacing w:before="240" w:after="40" w:line="264" w:lineRule="auto"/>
              <w:jc w:val="right"/>
            </w:pPr>
            <w:r>
              <w:rPr>
                <w:rFonts w:ascii="IBM Plex Mono" w:hAnsi="IBM Plex Mono" w:cs="IBM Plex Mono" w:eastAsia="IBM Plex Mono"/>
                <w:b/>
                <w:i w:val="0"/>
                <w:color w:val="5E1A1F"/>
                <w:sz w:val="15"/>
                <w:spacing w:val="36"/>
              </w:rPr>
              <w:t>2026</w:t>
            </w:r>
          </w:p>
        </w:tc>
      </w:tr>
    </w:tbl>
    <w:p>
      <w:r>
        <w:br w:type="page"/>
      </w:r>
    </w:p>
    <w:tbl>
      <w:tblPr>
        <w:tblW w:type="auto" w:w="0"/>
        <w:tblLayout w:type="fixed"/>
        <w:tblLook w:firstColumn="1" w:firstRow="1" w:lastColumn="0" w:lastRow="0" w:noHBand="0" w:noVBand="1" w:val="04A0"/>
      </w:tblPr>
      <w:tblGrid>
        <w:gridCol w:w="6236"/>
        <w:gridCol w:w="3288"/>
      </w:tblGrid>
      <w:tr>
        <w:tc>
          <w:tcPr>
            <w:tcW w:type="dxa" w:w="6236"/>
            <w:tcBorders>
              <w:bottom w:val="single" w:sz="4" w:color="d8dade"/>
            </w:tcBorders>
          </w:tcPr>
          <w:p>
            <w:pPr>
              <w:keepNext w:val="0"/>
              <w:spacing w:before="0" w:after="80" w:line="264" w:lineRule="auto"/>
            </w:pPr>
            <w:r>
              <w:rPr>
                <w:rFonts w:ascii="IBM Plex Mono" w:hAnsi="IBM Plex Mono" w:cs="IBM Plex Mono" w:eastAsia="IBM Plex Mono"/>
                <w:b/>
                <w:i w:val="0"/>
                <w:color w:val="6B7280"/>
                <w:sz w:val="15"/>
                <w:spacing w:val="40"/>
              </w:rPr>
              <w:t>FIRST LAST · CURRICULUM VITAE</w:t>
            </w:r>
          </w:p>
        </w:tc>
        <w:tc>
          <w:tcPr>
            <w:tcW w:type="dxa" w:w="3288"/>
            <w:tcBorders>
              <w:bottom w:val="single" w:sz="4" w:color="d8dade"/>
            </w:tcBorders>
          </w:tcPr>
          <w:p>
            <w:pPr>
              <w:keepNext w:val="0"/>
              <w:spacing w:before="0" w:after="80" w:line="264" w:lineRule="auto"/>
              <w:jc w:val="right"/>
            </w:pPr>
            <w:r>
              <w:rPr>
                <w:rFonts w:ascii="IBM Plex Mono" w:hAnsi="IBM Plex Mono" w:cs="IBM Plex Mono" w:eastAsia="IBM Plex Mono"/>
                <w:b/>
                <w:i w:val="0"/>
                <w:color w:val="5E1A1F"/>
                <w:sz w:val="15"/>
                <w:spacing w:val="40"/>
              </w:rPr>
              <w:t>DETAIL</w:t>
            </w:r>
          </w:p>
        </w:tc>
      </w:tr>
    </w:tbl>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PERSONAL DETAILS</w:t>
      </w:r>
    </w:p>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40" w:after="40" w:line="312" w:lineRule="auto"/>
            </w:pPr>
            <w:r>
              <w:rPr>
                <w:rFonts w:ascii="IBM Plex Mono" w:hAnsi="IBM Plex Mono" w:cs="IBM Plex Mono" w:eastAsia="IBM Plex Mono"/>
                <w:b w:val="0"/>
                <w:i w:val="0"/>
                <w:color w:val="6B7280"/>
                <w:sz w:val="15"/>
                <w:spacing w:val="28"/>
              </w:rPr>
              <w:t>NAME</w:t>
            </w:r>
          </w:p>
        </w:tc>
        <w:tc>
          <w:tcPr>
            <w:tcW w:type="dxa" w:w="6690"/>
            <w:tcBorders>
              <w:bottom w:val="single" w:sz="2" w:color="ececef"/>
            </w:tcBorders>
          </w:tcPr>
          <w:p>
            <w:pPr>
              <w:keepNext w:val="0"/>
              <w:spacing w:before="40" w:after="40" w:line="312" w:lineRule="auto"/>
            </w:pPr>
            <w:r>
              <w:rPr>
                <w:rFonts w:ascii="IBM Plex Sans" w:hAnsi="IBM Plex Sans" w:cs="IBM Plex Sans" w:eastAsia="IBM Plex Sans"/>
                <w:b w:val="0"/>
                <w:i w:val="0"/>
                <w:color w:val="14181F"/>
                <w:sz w:val="21"/>
              </w:rPr>
              <w:t>First Last</w:t>
            </w:r>
          </w:p>
        </w:tc>
      </w:tr>
    </w:tbl>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40" w:after="40" w:line="312" w:lineRule="auto"/>
            </w:pPr>
            <w:r>
              <w:rPr>
                <w:rFonts w:ascii="IBM Plex Mono" w:hAnsi="IBM Plex Mono" w:cs="IBM Plex Mono" w:eastAsia="IBM Plex Mono"/>
                <w:b w:val="0"/>
                <w:i w:val="0"/>
                <w:color w:val="6B7280"/>
                <w:sz w:val="15"/>
                <w:spacing w:val="28"/>
              </w:rPr>
              <w:t>DATE OF BIRTH</w:t>
            </w:r>
          </w:p>
        </w:tc>
        <w:tc>
          <w:tcPr>
            <w:tcW w:type="dxa" w:w="6690"/>
            <w:tcBorders>
              <w:bottom w:val="single" w:sz="2" w:color="ececef"/>
            </w:tcBorders>
          </w:tcPr>
          <w:p>
            <w:pPr>
              <w:keepNext w:val="0"/>
              <w:spacing w:before="40" w:after="40" w:line="312" w:lineRule="auto"/>
            </w:pPr>
            <w:r>
              <w:rPr>
                <w:rFonts w:ascii="IBM Plex Sans" w:hAnsi="IBM Plex Sans" w:cs="IBM Plex Sans" w:eastAsia="IBM Plex Sans"/>
                <w:b w:val="0"/>
                <w:i w:val="0"/>
                <w:color w:val="14181F"/>
                <w:sz w:val="21"/>
              </w:rPr>
              <w:t>DD.MM.YYYY</w:t>
            </w:r>
          </w:p>
        </w:tc>
      </w:tr>
    </w:tbl>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40" w:after="40" w:line="312" w:lineRule="auto"/>
            </w:pPr>
            <w:r>
              <w:rPr>
                <w:rFonts w:ascii="IBM Plex Mono" w:hAnsi="IBM Plex Mono" w:cs="IBM Plex Mono" w:eastAsia="IBM Plex Mono"/>
                <w:b w:val="0"/>
                <w:i w:val="0"/>
                <w:color w:val="6B7280"/>
                <w:sz w:val="15"/>
                <w:spacing w:val="28"/>
              </w:rPr>
              <w:t>PLACE OF BIRTH</w:t>
            </w:r>
          </w:p>
        </w:tc>
        <w:tc>
          <w:tcPr>
            <w:tcW w:type="dxa" w:w="6690"/>
            <w:tcBorders>
              <w:bottom w:val="single" w:sz="2" w:color="ececef"/>
            </w:tcBorders>
          </w:tcPr>
          <w:p>
            <w:pPr>
              <w:keepNext w:val="0"/>
              <w:spacing w:before="40" w:after="40" w:line="312" w:lineRule="auto"/>
            </w:pPr>
            <w:r>
              <w:rPr>
                <w:rFonts w:ascii="IBM Plex Sans" w:hAnsi="IBM Plex Sans" w:cs="IBM Plex Sans" w:eastAsia="IBM Plex Sans"/>
                <w:b w:val="0"/>
                <w:i w:val="0"/>
                <w:color w:val="14181F"/>
                <w:sz w:val="21"/>
              </w:rPr>
              <w:t>City, Country</w:t>
            </w:r>
          </w:p>
        </w:tc>
      </w:tr>
    </w:tbl>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40" w:after="40" w:line="312" w:lineRule="auto"/>
            </w:pPr>
            <w:r>
              <w:rPr>
                <w:rFonts w:ascii="IBM Plex Mono" w:hAnsi="IBM Plex Mono" w:cs="IBM Plex Mono" w:eastAsia="IBM Plex Mono"/>
                <w:b w:val="0"/>
                <w:i w:val="0"/>
                <w:color w:val="6B7280"/>
                <w:sz w:val="15"/>
                <w:spacing w:val="28"/>
              </w:rPr>
              <w:t>NATIONALITY</w:t>
            </w:r>
          </w:p>
        </w:tc>
        <w:tc>
          <w:tcPr>
            <w:tcW w:type="dxa" w:w="6690"/>
            <w:tcBorders>
              <w:bottom w:val="single" w:sz="2" w:color="ececef"/>
            </w:tcBorders>
          </w:tcPr>
          <w:p>
            <w:pPr>
              <w:keepNext w:val="0"/>
              <w:spacing w:before="40" w:after="40" w:line="312" w:lineRule="auto"/>
            </w:pPr>
            <w:r>
              <w:rPr>
                <w:rFonts w:ascii="IBM Plex Sans" w:hAnsi="IBM Plex Sans" w:cs="IBM Plex Sans" w:eastAsia="IBM Plex Sans"/>
                <w:b w:val="0"/>
                <w:i w:val="0"/>
                <w:color w:val="14181F"/>
                <w:sz w:val="21"/>
              </w:rPr>
              <w:t>Country</w:t>
            </w:r>
          </w:p>
        </w:tc>
      </w:tr>
    </w:tbl>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40" w:after="40" w:line="312" w:lineRule="auto"/>
            </w:pPr>
            <w:r>
              <w:rPr>
                <w:rFonts w:ascii="IBM Plex Mono" w:hAnsi="IBM Plex Mono" w:cs="IBM Plex Mono" w:eastAsia="IBM Plex Mono"/>
                <w:b w:val="0"/>
                <w:i w:val="0"/>
                <w:color w:val="6B7280"/>
                <w:sz w:val="15"/>
                <w:spacing w:val="28"/>
              </w:rPr>
              <w:t>ADDRESS</w:t>
            </w:r>
          </w:p>
        </w:tc>
        <w:tc>
          <w:tcPr>
            <w:tcW w:type="dxa" w:w="6690"/>
            <w:tcBorders>
              <w:bottom w:val="single" w:sz="2" w:color="ececef"/>
            </w:tcBorders>
          </w:tcPr>
          <w:p>
            <w:pPr>
              <w:keepNext w:val="0"/>
              <w:spacing w:before="40" w:after="40" w:line="312" w:lineRule="auto"/>
            </w:pPr>
            <w:r>
              <w:rPr>
                <w:rFonts w:ascii="IBM Plex Sans" w:hAnsi="IBM Plex Sans" w:cs="IBM Plex Sans" w:eastAsia="IBM Plex Sans"/>
                <w:b w:val="0"/>
                <w:i w:val="0"/>
                <w:color w:val="14181F"/>
                <w:sz w:val="21"/>
              </w:rPr>
              <w:t>Street No., ZIP City</w:t>
            </w:r>
          </w:p>
        </w:tc>
      </w:tr>
    </w:tbl>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40" w:after="40" w:line="312" w:lineRule="auto"/>
            </w:pPr>
            <w:r>
              <w:rPr>
                <w:rFonts w:ascii="IBM Plex Mono" w:hAnsi="IBM Plex Mono" w:cs="IBM Plex Mono" w:eastAsia="IBM Plex Mono"/>
                <w:b w:val="0"/>
                <w:i w:val="0"/>
                <w:color w:val="6B7280"/>
                <w:sz w:val="15"/>
                <w:spacing w:val="28"/>
              </w:rPr>
              <w:t>PHONE</w:t>
            </w:r>
          </w:p>
        </w:tc>
        <w:tc>
          <w:tcPr>
            <w:tcW w:type="dxa" w:w="6690"/>
            <w:tcBorders>
              <w:bottom w:val="single" w:sz="2" w:color="ececef"/>
            </w:tcBorders>
          </w:tcPr>
          <w:p>
            <w:pPr>
              <w:keepNext w:val="0"/>
              <w:spacing w:before="40" w:after="40" w:line="312" w:lineRule="auto"/>
            </w:pPr>
            <w:r>
              <w:rPr>
                <w:rFonts w:ascii="IBM Plex Sans" w:hAnsi="IBM Plex Sans" w:cs="IBM Plex Sans" w:eastAsia="IBM Plex Sans"/>
                <w:b w:val="0"/>
                <w:i w:val="0"/>
                <w:color w:val="14181F"/>
                <w:sz w:val="21"/>
              </w:rPr>
              <w:t>+49 ...</w:t>
            </w:r>
          </w:p>
        </w:tc>
      </w:tr>
    </w:tbl>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40" w:after="40" w:line="312" w:lineRule="auto"/>
            </w:pPr>
            <w:r>
              <w:rPr>
                <w:rFonts w:ascii="IBM Plex Mono" w:hAnsi="IBM Plex Mono" w:cs="IBM Plex Mono" w:eastAsia="IBM Plex Mono"/>
                <w:b w:val="0"/>
                <w:i w:val="0"/>
                <w:color w:val="6B7280"/>
                <w:sz w:val="15"/>
                <w:spacing w:val="28"/>
              </w:rPr>
              <w:t>EMAIL</w:t>
            </w:r>
          </w:p>
        </w:tc>
        <w:tc>
          <w:tcPr>
            <w:tcW w:type="dxa" w:w="6690"/>
            <w:tcBorders>
              <w:bottom w:val="single" w:sz="2" w:color="ececef"/>
            </w:tcBorders>
          </w:tcPr>
          <w:p>
            <w:pPr>
              <w:keepNext w:val="0"/>
              <w:spacing w:before="40" w:after="40" w:line="312" w:lineRule="auto"/>
            </w:pPr>
            <w:r>
              <w:rPr>
                <w:rFonts w:ascii="IBM Plex Sans" w:hAnsi="IBM Plex Sans" w:cs="IBM Plex Sans" w:eastAsia="IBM Plex Sans"/>
                <w:b w:val="0"/>
                <w:i w:val="0"/>
                <w:color w:val="14181F"/>
                <w:sz w:val="21"/>
              </w:rPr>
              <w:t>name@example.com</w:t>
            </w:r>
          </w:p>
        </w:tc>
      </w:tr>
    </w:tbl>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PROFILE</w:t>
      </w:r>
    </w:p>
    <w:p>
      <w:pPr>
        <w:keepNext w:val="0"/>
        <w:spacing w:before="80" w:after="120" w:line="360" w:lineRule="auto"/>
      </w:pPr>
      <w:r>
        <w:rPr>
          <w:rFonts w:ascii="IBM Plex Serif" w:hAnsi="IBM Plex Serif" w:cs="IBM Plex Serif" w:eastAsia="IBM Plex Serif"/>
          <w:b/>
          <w:i w:val="0"/>
          <w:color w:val="5E1A1F"/>
          <w:sz w:val="44"/>
        </w:rPr>
        <w:t>T</w:t>
      </w:r>
      <w:r>
        <w:rPr>
          <w:rFonts w:ascii="IBM Plex Sans" w:hAnsi="IBM Plex Sans" w:cs="IBM Plex Sans" w:eastAsia="IBM Plex Sans"/>
          <w:b w:val="0"/>
          <w:i w:val="0"/>
          <w:color w:val="14181F"/>
          <w:sz w:val="21"/>
        </w:rPr>
        <w:t>hree to five lines. Factual, dense, no marketing speak. States the role (Senior FullStack Consultant), years of experience, focus (industries and technology) and delivery model (permanent, consulting, embedded, fractional). Adjectives stay out of the way; numbers and named systems carry the point.</w:t>
      </w:r>
    </w:p>
    <w:p>
      <w:pPr>
        <w:keepNext w:val="0"/>
        <w:spacing w:before="40" w:after="120" w:line="360" w:lineRule="auto"/>
      </w:pPr>
      <w:r>
        <w:rPr>
          <w:rFonts w:ascii="IBM Plex Sans" w:hAnsi="IBM Plex Sans" w:cs="IBM Plex Sans" w:eastAsia="IBM Plex Sans"/>
          <w:b w:val="0"/>
          <w:i w:val="0"/>
          <w:color w:val="14181F"/>
          <w:sz w:val="21"/>
        </w:rPr>
        <w:t>Optional second paragraph for working languages, regional availability or DACH-specific notes. Applying across DACH from outside the region: one line on language and on-site availability is welcome here.</w:t>
      </w:r>
    </w:p>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PROFESSIONAL EXPERIENCE</w:t>
      </w:r>
    </w:p>
    <w:tbl>
      <w:tblPr>
        <w:tblW w:type="auto" w:w="0"/>
        <w:tblLayout w:type="fixed"/>
        <w:tblLook w:firstColumn="1" w:firstRow="1" w:lastColumn="0" w:lastRow="0" w:noHBand="0" w:noVBand="1" w:val="04A0"/>
      </w:tblPr>
      <w:tblGrid>
        <w:gridCol w:w="1814"/>
        <w:gridCol w:w="7710"/>
      </w:tblGrid>
      <w:tr>
        <w:tc>
          <w:tcPr>
            <w:tcW w:type="dxa" w:w="1814"/>
            <w:vAlign w:val="top"/>
            <w:tcBorders>
              <w:bottom w:val="single" w:sz="2" w:color="ececef"/>
            </w:tcBorders>
          </w:tcPr>
          <w:p>
            <w:pPr>
              <w:keepNext w:val="0"/>
              <w:spacing w:before="60" w:after="60" w:line="324" w:lineRule="auto"/>
            </w:pPr>
            <w:r>
              <w:rPr>
                <w:rFonts w:ascii="IBM Plex Mono" w:hAnsi="IBM Plex Mono" w:cs="IBM Plex Mono" w:eastAsia="IBM Plex Mono"/>
                <w:b w:val="0"/>
                <w:i w:val="0"/>
                <w:color w:val="3A4150"/>
                <w:sz w:val="17"/>
              </w:rPr>
              <w:t>MM/YYYY - present</w:t>
            </w:r>
          </w:p>
        </w:tc>
        <w:tc>
          <w:tcPr>
            <w:tcW w:type="dxa" w:w="7710"/>
            <w:vAlign w:val="top"/>
            <w:tcBorders>
              <w:bottom w:val="single" w:sz="2" w:color="ececef"/>
            </w:tcBorders>
          </w:tcPr>
          <w:p>
            <w:pPr>
              <w:keepNext w:val="0"/>
              <w:spacing w:before="60" w:after="0" w:line="324" w:lineRule="auto"/>
            </w:pPr>
            <w:r>
              <w:rPr>
                <w:rFonts w:ascii="IBM Plex Sans" w:hAnsi="IBM Plex Sans" w:cs="IBM Plex Sans" w:eastAsia="IBM Plex Sans"/>
                <w:b/>
                <w:i w:val="0"/>
                <w:color w:val="14181F"/>
                <w:sz w:val="21"/>
              </w:rPr>
              <w:t>Senior Consultant</w:t>
            </w:r>
            <w:r>
              <w:rPr>
                <w:rFonts w:ascii="IBM Plex Sans" w:hAnsi="IBM Plex Sans" w:cs="IBM Plex Sans" w:eastAsia="IBM Plex Sans"/>
                <w:b w:val="0"/>
                <w:i w:val="0"/>
                <w:color w:val="14181F"/>
                <w:sz w:val="21"/>
              </w:rPr>
              <w:t xml:space="preserve">   </w:t>
            </w:r>
            <w:r>
              <w:rPr>
                <w:rFonts w:ascii="IBM Plex Serif" w:hAnsi="IBM Plex Serif" w:cs="IBM Plex Serif" w:eastAsia="IBM Plex Serif"/>
                <w:b w:val="0"/>
                <w:i/>
                <w:color w:val="3A4150"/>
                <w:sz w:val="20"/>
              </w:rPr>
              <w:t>Client / Industry</w:t>
            </w:r>
          </w:p>
          <w:p>
            <w:pPr>
              <w:keepNext w:val="0"/>
              <w:spacing w:before="0" w:after="60" w:line="324" w:lineRule="auto"/>
            </w:pPr>
            <w:r>
              <w:rPr>
                <w:rFonts w:ascii="IBM Plex Sans" w:hAnsi="IBM Plex Sans" w:cs="IBM Plex Sans" w:eastAsia="IBM Plex Sans"/>
                <w:b w:val="0"/>
                <w:i w:val="0"/>
                <w:color w:val="3A4150"/>
                <w:sz w:val="19"/>
              </w:rPr>
              <w:t>One-line summary of the current role.</w:t>
            </w:r>
          </w:p>
        </w:tc>
      </w:tr>
    </w:tbl>
    <w:tbl>
      <w:tblPr>
        <w:tblW w:type="auto" w:w="0"/>
        <w:tblLayout w:type="fixed"/>
        <w:tblLook w:firstColumn="1" w:firstRow="1" w:lastColumn="0" w:lastRow="0" w:noHBand="0" w:noVBand="1" w:val="04A0"/>
      </w:tblPr>
      <w:tblGrid>
        <w:gridCol w:w="1814"/>
        <w:gridCol w:w="7710"/>
      </w:tblGrid>
      <w:tr>
        <w:tc>
          <w:tcPr>
            <w:tcW w:type="dxa" w:w="1814"/>
            <w:vAlign w:val="top"/>
            <w:tcBorders>
              <w:bottom w:val="single" w:sz="2" w:color="ececef"/>
            </w:tcBorders>
          </w:tcPr>
          <w:p>
            <w:pPr>
              <w:keepNext w:val="0"/>
              <w:spacing w:before="60" w:after="60" w:line="324" w:lineRule="auto"/>
            </w:pPr>
            <w:r>
              <w:rPr>
                <w:rFonts w:ascii="IBM Plex Mono" w:hAnsi="IBM Plex Mono" w:cs="IBM Plex Mono" w:eastAsia="IBM Plex Mono"/>
                <w:b w:val="0"/>
                <w:i w:val="0"/>
                <w:color w:val="3A4150"/>
                <w:sz w:val="17"/>
              </w:rPr>
              <w:t>MM/YYYY - MM/YYYY</w:t>
            </w:r>
          </w:p>
        </w:tc>
        <w:tc>
          <w:tcPr>
            <w:tcW w:type="dxa" w:w="7710"/>
            <w:vAlign w:val="top"/>
            <w:tcBorders>
              <w:bottom w:val="single" w:sz="2" w:color="ececef"/>
            </w:tcBorders>
          </w:tcPr>
          <w:p>
            <w:pPr>
              <w:keepNext w:val="0"/>
              <w:spacing w:before="60" w:after="0" w:line="324" w:lineRule="auto"/>
            </w:pPr>
            <w:r>
              <w:rPr>
                <w:rFonts w:ascii="IBM Plex Sans" w:hAnsi="IBM Plex Sans" w:cs="IBM Plex Sans" w:eastAsia="IBM Plex Sans"/>
                <w:b/>
                <w:i w:val="0"/>
                <w:color w:val="14181F"/>
                <w:sz w:val="21"/>
              </w:rPr>
              <w:t>Lead Engineer</w:t>
            </w:r>
            <w:r>
              <w:rPr>
                <w:rFonts w:ascii="IBM Plex Sans" w:hAnsi="IBM Plex Sans" w:cs="IBM Plex Sans" w:eastAsia="IBM Plex Sans"/>
                <w:b w:val="0"/>
                <w:i w:val="0"/>
                <w:color w:val="14181F"/>
                <w:sz w:val="21"/>
              </w:rPr>
              <w:t xml:space="preserve">   </w:t>
            </w:r>
            <w:r>
              <w:rPr>
                <w:rFonts w:ascii="IBM Plex Serif" w:hAnsi="IBM Plex Serif" w:cs="IBM Plex Serif" w:eastAsia="IBM Plex Serif"/>
                <w:b w:val="0"/>
                <w:i/>
                <w:color w:val="3A4150"/>
                <w:sz w:val="20"/>
              </w:rPr>
              <w:t>Client / Industry</w:t>
            </w:r>
          </w:p>
          <w:p>
            <w:pPr>
              <w:keepNext w:val="0"/>
              <w:spacing w:before="0" w:after="60" w:line="324" w:lineRule="auto"/>
            </w:pPr>
            <w:r>
              <w:rPr>
                <w:rFonts w:ascii="IBM Plex Sans" w:hAnsi="IBM Plex Sans" w:cs="IBM Plex Sans" w:eastAsia="IBM Plex Sans"/>
                <w:b w:val="0"/>
                <w:i w:val="0"/>
                <w:color w:val="3A4150"/>
                <w:sz w:val="19"/>
              </w:rPr>
              <w:t>One-line summary of the previous role.</w:t>
            </w:r>
          </w:p>
        </w:tc>
      </w:tr>
    </w:tbl>
    <w:tbl>
      <w:tblPr>
        <w:tblW w:type="auto" w:w="0"/>
        <w:tblLayout w:type="fixed"/>
        <w:tblLook w:firstColumn="1" w:firstRow="1" w:lastColumn="0" w:lastRow="0" w:noHBand="0" w:noVBand="1" w:val="04A0"/>
      </w:tblPr>
      <w:tblGrid>
        <w:gridCol w:w="1814"/>
        <w:gridCol w:w="7710"/>
      </w:tblGrid>
      <w:tr>
        <w:tc>
          <w:tcPr>
            <w:tcW w:type="dxa" w:w="1814"/>
            <w:vAlign w:val="top"/>
            <w:tcBorders>
              <w:bottom w:val="single" w:sz="2" w:color="ececef"/>
            </w:tcBorders>
          </w:tcPr>
          <w:p>
            <w:pPr>
              <w:keepNext w:val="0"/>
              <w:spacing w:before="60" w:after="60" w:line="324" w:lineRule="auto"/>
            </w:pPr>
            <w:r>
              <w:rPr>
                <w:rFonts w:ascii="IBM Plex Mono" w:hAnsi="IBM Plex Mono" w:cs="IBM Plex Mono" w:eastAsia="IBM Plex Mono"/>
                <w:b w:val="0"/>
                <w:i w:val="0"/>
                <w:color w:val="3A4150"/>
                <w:sz w:val="17"/>
              </w:rPr>
              <w:t>MM/YYYY - MM/YYYY</w:t>
            </w:r>
          </w:p>
        </w:tc>
        <w:tc>
          <w:tcPr>
            <w:tcW w:type="dxa" w:w="7710"/>
            <w:vAlign w:val="top"/>
            <w:tcBorders>
              <w:bottom w:val="single" w:sz="2" w:color="ececef"/>
            </w:tcBorders>
          </w:tcPr>
          <w:p>
            <w:pPr>
              <w:keepNext w:val="0"/>
              <w:spacing w:before="60" w:after="0" w:line="324" w:lineRule="auto"/>
            </w:pPr>
            <w:r>
              <w:rPr>
                <w:rFonts w:ascii="IBM Plex Sans" w:hAnsi="IBM Plex Sans" w:cs="IBM Plex Sans" w:eastAsia="IBM Plex Sans"/>
                <w:b/>
                <w:i w:val="0"/>
                <w:color w:val="14181F"/>
                <w:sz w:val="21"/>
              </w:rPr>
              <w:t>Software Engineer</w:t>
            </w:r>
            <w:r>
              <w:rPr>
                <w:rFonts w:ascii="IBM Plex Sans" w:hAnsi="IBM Plex Sans" w:cs="IBM Plex Sans" w:eastAsia="IBM Plex Sans"/>
                <w:b w:val="0"/>
                <w:i w:val="0"/>
                <w:color w:val="14181F"/>
                <w:sz w:val="21"/>
              </w:rPr>
              <w:t xml:space="preserve">   </w:t>
            </w:r>
            <w:r>
              <w:rPr>
                <w:rFonts w:ascii="IBM Plex Serif" w:hAnsi="IBM Plex Serif" w:cs="IBM Plex Serif" w:eastAsia="IBM Plex Serif"/>
                <w:b w:val="0"/>
                <w:i/>
                <w:color w:val="3A4150"/>
                <w:sz w:val="20"/>
              </w:rPr>
              <w:t>Employer</w:t>
            </w:r>
          </w:p>
          <w:p>
            <w:pPr>
              <w:keepNext w:val="0"/>
              <w:spacing w:before="0" w:after="60" w:line="324" w:lineRule="auto"/>
            </w:pPr>
            <w:r>
              <w:rPr>
                <w:rFonts w:ascii="IBM Plex Sans" w:hAnsi="IBM Plex Sans" w:cs="IBM Plex Sans" w:eastAsia="IBM Plex Sans"/>
                <w:b w:val="0"/>
                <w:i w:val="0"/>
                <w:color w:val="3A4150"/>
                <w:sz w:val="19"/>
              </w:rPr>
              <w:t>One-line summary of an earlier role.</w:t>
            </w:r>
          </w:p>
        </w:tc>
      </w:tr>
    </w:tbl>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EDUCATION</w:t>
      </w:r>
    </w:p>
    <w:tbl>
      <w:tblPr>
        <w:tblW w:type="auto" w:w="0"/>
        <w:tblLayout w:type="fixed"/>
        <w:tblLook w:firstColumn="1" w:firstRow="1" w:lastColumn="0" w:lastRow="0" w:noHBand="0" w:noVBand="1" w:val="04A0"/>
      </w:tblPr>
      <w:tblGrid>
        <w:gridCol w:w="1814"/>
        <w:gridCol w:w="7710"/>
      </w:tblGrid>
      <w:tr>
        <w:tc>
          <w:tcPr>
            <w:tcW w:type="dxa" w:w="1814"/>
            <w:vAlign w:val="top"/>
            <w:tcBorders>
              <w:bottom w:val="single" w:sz="2" w:color="ececef"/>
            </w:tcBorders>
          </w:tcPr>
          <w:p>
            <w:pPr>
              <w:keepNext w:val="0"/>
              <w:spacing w:before="60" w:after="60" w:line="324" w:lineRule="auto"/>
            </w:pPr>
            <w:r>
              <w:rPr>
                <w:rFonts w:ascii="IBM Plex Mono" w:hAnsi="IBM Plex Mono" w:cs="IBM Plex Mono" w:eastAsia="IBM Plex Mono"/>
                <w:b w:val="0"/>
                <w:i w:val="0"/>
                <w:color w:val="3A4150"/>
                <w:sz w:val="17"/>
              </w:rPr>
              <w:t>MM/YYYY - MM/YYYY</w:t>
            </w:r>
          </w:p>
        </w:tc>
        <w:tc>
          <w:tcPr>
            <w:tcW w:type="dxa" w:w="7710"/>
            <w:vAlign w:val="top"/>
            <w:tcBorders>
              <w:bottom w:val="single" w:sz="2" w:color="ececef"/>
            </w:tcBorders>
          </w:tcPr>
          <w:p>
            <w:pPr>
              <w:keepNext w:val="0"/>
              <w:spacing w:before="60" w:after="0" w:line="324" w:lineRule="auto"/>
            </w:pPr>
            <w:r>
              <w:rPr>
                <w:rFonts w:ascii="IBM Plex Sans" w:hAnsi="IBM Plex Sans" w:cs="IBM Plex Sans" w:eastAsia="IBM Plex Sans"/>
                <w:b/>
                <w:i w:val="0"/>
                <w:color w:val="14181F"/>
                <w:sz w:val="21"/>
              </w:rPr>
              <w:t>M.Sc. Computer Science</w:t>
            </w:r>
            <w:r>
              <w:rPr>
                <w:rFonts w:ascii="IBM Plex Sans" w:hAnsi="IBM Plex Sans" w:cs="IBM Plex Sans" w:eastAsia="IBM Plex Sans"/>
                <w:b w:val="0"/>
                <w:i w:val="0"/>
                <w:color w:val="14181F"/>
                <w:sz w:val="21"/>
              </w:rPr>
              <w:t xml:space="preserve">   </w:t>
            </w:r>
            <w:r>
              <w:rPr>
                <w:rFonts w:ascii="IBM Plex Serif" w:hAnsi="IBM Plex Serif" w:cs="IBM Plex Serif" w:eastAsia="IBM Plex Serif"/>
                <w:b w:val="0"/>
                <w:i/>
                <w:color w:val="3A4150"/>
                <w:sz w:val="20"/>
              </w:rPr>
              <w:t>University / City</w:t>
            </w:r>
          </w:p>
        </w:tc>
      </w:tr>
    </w:tbl>
    <w:tbl>
      <w:tblPr>
        <w:tblW w:type="auto" w:w="0"/>
        <w:tblLayout w:type="fixed"/>
        <w:tblLook w:firstColumn="1" w:firstRow="1" w:lastColumn="0" w:lastRow="0" w:noHBand="0" w:noVBand="1" w:val="04A0"/>
      </w:tblPr>
      <w:tblGrid>
        <w:gridCol w:w="1814"/>
        <w:gridCol w:w="7710"/>
      </w:tblGrid>
      <w:tr>
        <w:tc>
          <w:tcPr>
            <w:tcW w:type="dxa" w:w="1814"/>
            <w:vAlign w:val="top"/>
            <w:tcBorders>
              <w:bottom w:val="single" w:sz="2" w:color="ececef"/>
            </w:tcBorders>
          </w:tcPr>
          <w:p>
            <w:pPr>
              <w:keepNext w:val="0"/>
              <w:spacing w:before="60" w:after="60" w:line="324" w:lineRule="auto"/>
            </w:pPr>
            <w:r>
              <w:rPr>
                <w:rFonts w:ascii="IBM Plex Mono" w:hAnsi="IBM Plex Mono" w:cs="IBM Plex Mono" w:eastAsia="IBM Plex Mono"/>
                <w:b w:val="0"/>
                <w:i w:val="0"/>
                <w:color w:val="3A4150"/>
                <w:sz w:val="17"/>
              </w:rPr>
              <w:t>MM/YYYY - MM/YYYY</w:t>
            </w:r>
          </w:p>
        </w:tc>
        <w:tc>
          <w:tcPr>
            <w:tcW w:type="dxa" w:w="7710"/>
            <w:vAlign w:val="top"/>
            <w:tcBorders>
              <w:bottom w:val="single" w:sz="2" w:color="ececef"/>
            </w:tcBorders>
          </w:tcPr>
          <w:p>
            <w:pPr>
              <w:keepNext w:val="0"/>
              <w:spacing w:before="60" w:after="0" w:line="324" w:lineRule="auto"/>
            </w:pPr>
            <w:r>
              <w:rPr>
                <w:rFonts w:ascii="IBM Plex Sans" w:hAnsi="IBM Plex Sans" w:cs="IBM Plex Sans" w:eastAsia="IBM Plex Sans"/>
                <w:b/>
                <w:i w:val="0"/>
                <w:color w:val="14181F"/>
                <w:sz w:val="21"/>
              </w:rPr>
              <w:t>B.Sc. Computer Science</w:t>
            </w:r>
            <w:r>
              <w:rPr>
                <w:rFonts w:ascii="IBM Plex Sans" w:hAnsi="IBM Plex Sans" w:cs="IBM Plex Sans" w:eastAsia="IBM Plex Sans"/>
                <w:b w:val="0"/>
                <w:i w:val="0"/>
                <w:color w:val="14181F"/>
                <w:sz w:val="21"/>
              </w:rPr>
              <w:t xml:space="preserve">   </w:t>
            </w:r>
            <w:r>
              <w:rPr>
                <w:rFonts w:ascii="IBM Plex Serif" w:hAnsi="IBM Plex Serif" w:cs="IBM Plex Serif" w:eastAsia="IBM Plex Serif"/>
                <w:b w:val="0"/>
                <w:i/>
                <w:color w:val="3A4150"/>
                <w:sz w:val="20"/>
              </w:rPr>
              <w:t>University / City</w:t>
            </w:r>
          </w:p>
        </w:tc>
      </w:tr>
    </w:tbl>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CERTIFICATIONS</w:t>
      </w:r>
    </w:p>
    <w:tbl>
      <w:tblPr>
        <w:tblW w:type="auto" w:w="0"/>
        <w:tblLayout w:type="fixed"/>
        <w:tblLook w:firstColumn="1" w:firstRow="1" w:lastColumn="0" w:lastRow="0" w:noHBand="0" w:noVBand="1" w:val="04A0"/>
      </w:tblPr>
      <w:tblGrid>
        <w:gridCol w:w="1814"/>
        <w:gridCol w:w="7710"/>
      </w:tblGrid>
      <w:tr>
        <w:tc>
          <w:tcPr>
            <w:tcW w:type="dxa" w:w="1814"/>
            <w:vAlign w:val="top"/>
            <w:tcBorders>
              <w:bottom w:val="single" w:sz="2" w:color="ececef"/>
            </w:tcBorders>
          </w:tcPr>
          <w:p>
            <w:pPr>
              <w:keepNext w:val="0"/>
              <w:spacing w:before="60" w:after="60" w:line="324" w:lineRule="auto"/>
            </w:pPr>
            <w:r>
              <w:rPr>
                <w:rFonts w:ascii="IBM Plex Mono" w:hAnsi="IBM Plex Mono" w:cs="IBM Plex Mono" w:eastAsia="IBM Plex Mono"/>
                <w:b w:val="0"/>
                <w:i w:val="0"/>
                <w:color w:val="3A4150"/>
                <w:sz w:val="17"/>
              </w:rPr>
              <w:t>YYYY</w:t>
            </w:r>
          </w:p>
        </w:tc>
        <w:tc>
          <w:tcPr>
            <w:tcW w:type="dxa" w:w="7710"/>
            <w:vAlign w:val="top"/>
            <w:tcBorders>
              <w:bottom w:val="single" w:sz="2" w:color="ececef"/>
            </w:tcBorders>
          </w:tcPr>
          <w:p>
            <w:pPr>
              <w:keepNext w:val="0"/>
              <w:spacing w:before="60" w:after="0" w:line="324" w:lineRule="auto"/>
            </w:pPr>
            <w:r>
              <w:rPr>
                <w:rFonts w:ascii="IBM Plex Sans" w:hAnsi="IBM Plex Sans" w:cs="IBM Plex Sans" w:eastAsia="IBM Plex Sans"/>
                <w:b/>
                <w:i w:val="0"/>
                <w:color w:val="14181F"/>
                <w:sz w:val="21"/>
              </w:rPr>
              <w:t>Azure Solutions Architect Expert</w:t>
            </w:r>
            <w:r>
              <w:rPr>
                <w:rFonts w:ascii="IBM Plex Sans" w:hAnsi="IBM Plex Sans" w:cs="IBM Plex Sans" w:eastAsia="IBM Plex Sans"/>
                <w:b w:val="0"/>
                <w:i w:val="0"/>
                <w:color w:val="14181F"/>
                <w:sz w:val="21"/>
              </w:rPr>
              <w:t xml:space="preserve">   </w:t>
            </w:r>
            <w:r>
              <w:rPr>
                <w:rFonts w:ascii="IBM Plex Serif" w:hAnsi="IBM Plex Serif" w:cs="IBM Plex Serif" w:eastAsia="IBM Plex Serif"/>
                <w:b w:val="0"/>
                <w:i/>
                <w:color w:val="3A4150"/>
                <w:sz w:val="20"/>
              </w:rPr>
              <w:t>Microsoft</w:t>
            </w:r>
          </w:p>
        </w:tc>
      </w:tr>
    </w:tbl>
    <w:tbl>
      <w:tblPr>
        <w:tblW w:type="auto" w:w="0"/>
        <w:tblLayout w:type="fixed"/>
        <w:tblLook w:firstColumn="1" w:firstRow="1" w:lastColumn="0" w:lastRow="0" w:noHBand="0" w:noVBand="1" w:val="04A0"/>
      </w:tblPr>
      <w:tblGrid>
        <w:gridCol w:w="1814"/>
        <w:gridCol w:w="7710"/>
      </w:tblGrid>
      <w:tr>
        <w:tc>
          <w:tcPr>
            <w:tcW w:type="dxa" w:w="1814"/>
            <w:vAlign w:val="top"/>
            <w:tcBorders>
              <w:bottom w:val="single" w:sz="2" w:color="ececef"/>
            </w:tcBorders>
          </w:tcPr>
          <w:p>
            <w:pPr>
              <w:keepNext w:val="0"/>
              <w:spacing w:before="60" w:after="60" w:line="324" w:lineRule="auto"/>
            </w:pPr>
            <w:r>
              <w:rPr>
                <w:rFonts w:ascii="IBM Plex Mono" w:hAnsi="IBM Plex Mono" w:cs="IBM Plex Mono" w:eastAsia="IBM Plex Mono"/>
                <w:b w:val="0"/>
                <w:i w:val="0"/>
                <w:color w:val="3A4150"/>
                <w:sz w:val="17"/>
              </w:rPr>
              <w:t>YYYY</w:t>
            </w:r>
          </w:p>
        </w:tc>
        <w:tc>
          <w:tcPr>
            <w:tcW w:type="dxa" w:w="7710"/>
            <w:vAlign w:val="top"/>
            <w:tcBorders>
              <w:bottom w:val="single" w:sz="2" w:color="ececef"/>
            </w:tcBorders>
          </w:tcPr>
          <w:p>
            <w:pPr>
              <w:keepNext w:val="0"/>
              <w:spacing w:before="60" w:after="0" w:line="324" w:lineRule="auto"/>
            </w:pPr>
            <w:r>
              <w:rPr>
                <w:rFonts w:ascii="IBM Plex Sans" w:hAnsi="IBM Plex Sans" w:cs="IBM Plex Sans" w:eastAsia="IBM Plex Sans"/>
                <w:b/>
                <w:i w:val="0"/>
                <w:color w:val="14181F"/>
                <w:sz w:val="21"/>
              </w:rPr>
              <w:t>ITIL Foundation v4</w:t>
            </w:r>
            <w:r>
              <w:rPr>
                <w:rFonts w:ascii="IBM Plex Sans" w:hAnsi="IBM Plex Sans" w:cs="IBM Plex Sans" w:eastAsia="IBM Plex Sans"/>
                <w:b w:val="0"/>
                <w:i w:val="0"/>
                <w:color w:val="14181F"/>
                <w:sz w:val="21"/>
              </w:rPr>
              <w:t xml:space="preserve">   </w:t>
            </w:r>
            <w:r>
              <w:rPr>
                <w:rFonts w:ascii="IBM Plex Serif" w:hAnsi="IBM Plex Serif" w:cs="IBM Plex Serif" w:eastAsia="IBM Plex Serif"/>
                <w:b w:val="0"/>
                <w:i/>
                <w:color w:val="3A4150"/>
                <w:sz w:val="20"/>
              </w:rPr>
              <w:t>AXELOS</w:t>
            </w:r>
          </w:p>
        </w:tc>
      </w:tr>
    </w:tbl>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LANGUAGES</w:t>
      </w:r>
    </w:p>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60" w:after="60" w:line="312" w:lineRule="auto"/>
            </w:pPr>
            <w:r>
              <w:rPr>
                <w:rFonts w:ascii="IBM Plex Sans" w:hAnsi="IBM Plex Sans" w:cs="IBM Plex Sans" w:eastAsia="IBM Plex Sans"/>
                <w:b/>
                <w:i w:val="0"/>
                <w:color w:val="14181F"/>
                <w:sz w:val="21"/>
              </w:rPr>
              <w:t>English</w:t>
            </w:r>
          </w:p>
        </w:tc>
        <w:tc>
          <w:tcPr>
            <w:tcW w:type="dxa" w:w="6690"/>
            <w:tcBorders>
              <w:bottom w:val="single" w:sz="2" w:color="ececef"/>
            </w:tcBorders>
          </w:tcPr>
          <w:p>
            <w:pPr>
              <w:keepNext w:val="0"/>
              <w:spacing w:before="60" w:after="60" w:line="312" w:lineRule="auto"/>
            </w:pPr>
            <w:r>
              <w:rPr>
                <w:rFonts w:ascii="IBM Plex Serif" w:hAnsi="IBM Plex Serif" w:cs="IBM Plex Serif" w:eastAsia="IBM Plex Serif"/>
                <w:b w:val="0"/>
                <w:i/>
                <w:color w:val="3A4150"/>
                <w:sz w:val="20"/>
              </w:rPr>
              <w:t>Native · C2</w:t>
            </w:r>
          </w:p>
        </w:tc>
      </w:tr>
    </w:tbl>
    <w:tbl>
      <w:tblPr>
        <w:tblW w:type="auto" w:w="0"/>
        <w:tblLayout w:type="fixed"/>
        <w:tblLook w:firstColumn="1" w:firstRow="1" w:lastColumn="0" w:lastRow="0" w:noHBand="0" w:noVBand="1" w:val="04A0"/>
      </w:tblPr>
      <w:tblGrid>
        <w:gridCol w:w="2835"/>
        <w:gridCol w:w="6690"/>
      </w:tblGrid>
      <w:tr>
        <w:tc>
          <w:tcPr>
            <w:tcW w:type="dxa" w:w="2835"/>
            <w:tcBorders>
              <w:bottom w:val="single" w:sz="2" w:color="ececef"/>
            </w:tcBorders>
          </w:tcPr>
          <w:p>
            <w:pPr>
              <w:keepNext w:val="0"/>
              <w:spacing w:before="60" w:after="60" w:line="312" w:lineRule="auto"/>
            </w:pPr>
            <w:r>
              <w:rPr>
                <w:rFonts w:ascii="IBM Plex Sans" w:hAnsi="IBM Plex Sans" w:cs="IBM Plex Sans" w:eastAsia="IBM Plex Sans"/>
                <w:b/>
                <w:i w:val="0"/>
                <w:color w:val="14181F"/>
                <w:sz w:val="21"/>
              </w:rPr>
              <w:t>German</w:t>
            </w:r>
          </w:p>
        </w:tc>
        <w:tc>
          <w:tcPr>
            <w:tcW w:type="dxa" w:w="6690"/>
            <w:tcBorders>
              <w:bottom w:val="single" w:sz="2" w:color="ececef"/>
            </w:tcBorders>
          </w:tcPr>
          <w:p>
            <w:pPr>
              <w:keepNext w:val="0"/>
              <w:spacing w:before="60" w:after="60" w:line="312" w:lineRule="auto"/>
            </w:pPr>
            <w:r>
              <w:rPr>
                <w:rFonts w:ascii="IBM Plex Serif" w:hAnsi="IBM Plex Serif" w:cs="IBM Plex Serif" w:eastAsia="IBM Plex Serif"/>
                <w:b w:val="0"/>
                <w:i/>
                <w:color w:val="3A4150"/>
                <w:sz w:val="20"/>
              </w:rPr>
              <w:t>Business fluent · C1</w:t>
            </w:r>
          </w:p>
        </w:tc>
      </w:tr>
    </w:tbl>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TECHNICAL SKILLS</w:t>
      </w:r>
    </w:p>
    <w:p>
      <w:pPr>
        <w:keepNext/>
        <w:spacing w:before="160" w:after="40" w:line="264" w:lineRule="auto"/>
        <w:pBdr>
          <w:bottom w:val="single" w:sz="4" w:space="1" w:color="5e1a1f"/>
        </w:pBdr>
      </w:pPr>
      <w:r>
        <w:rPr>
          <w:rFonts w:ascii="IBM Plex Mono" w:hAnsi="IBM Plex Mono" w:cs="IBM Plex Mono" w:eastAsia="IBM Plex Mono"/>
          <w:b/>
          <w:i w:val="0"/>
          <w:color w:val="5E1A1F"/>
          <w:sz w:val="16"/>
          <w:spacing w:val="36"/>
        </w:rPr>
        <w:t>BACKEND</w:t>
      </w:r>
    </w:p>
    <w:p>
      <w:pPr>
        <w:keepNext w:val="0"/>
        <w:spacing w:before="40" w:after="40" w:line="348" w:lineRule="auto"/>
      </w:pPr>
      <w:r>
        <w:rPr>
          <w:rFonts w:ascii="IBM Plex Sans" w:hAnsi="IBM Plex Sans" w:cs="IBM Plex Sans" w:eastAsia="IBM Plex Sans"/>
          <w:b w:val="0"/>
          <w:i w:val="0"/>
          <w:color w:val="14181F"/>
          <w:sz w:val="20"/>
        </w:rPr>
        <w:t>.NET 8 / 9, ASP.NET Core, EF Core, C# 12, F#, MediatR</w:t>
      </w:r>
    </w:p>
    <w:p>
      <w:pPr>
        <w:keepNext/>
        <w:spacing w:before="160" w:after="40" w:line="264" w:lineRule="auto"/>
        <w:pBdr>
          <w:bottom w:val="single" w:sz="4" w:space="1" w:color="5e1a1f"/>
        </w:pBdr>
      </w:pPr>
      <w:r>
        <w:rPr>
          <w:rFonts w:ascii="IBM Plex Mono" w:hAnsi="IBM Plex Mono" w:cs="IBM Plex Mono" w:eastAsia="IBM Plex Mono"/>
          <w:b/>
          <w:i w:val="0"/>
          <w:color w:val="5E1A1F"/>
          <w:sz w:val="16"/>
          <w:spacing w:val="36"/>
        </w:rPr>
        <w:t>FRONTEND</w:t>
      </w:r>
    </w:p>
    <w:p>
      <w:pPr>
        <w:keepNext w:val="0"/>
        <w:spacing w:before="40" w:after="40" w:line="348" w:lineRule="auto"/>
      </w:pPr>
      <w:r>
        <w:rPr>
          <w:rFonts w:ascii="IBM Plex Sans" w:hAnsi="IBM Plex Sans" w:cs="IBM Plex Sans" w:eastAsia="IBM Plex Sans"/>
          <w:b w:val="0"/>
          <w:i w:val="0"/>
          <w:color w:val="14181F"/>
          <w:sz w:val="20"/>
        </w:rPr>
        <w:t>TypeScript, React, Vite, Angular, Web Components</w:t>
      </w:r>
    </w:p>
    <w:p>
      <w:pPr>
        <w:keepNext/>
        <w:spacing w:before="160" w:after="40" w:line="264" w:lineRule="auto"/>
        <w:pBdr>
          <w:bottom w:val="single" w:sz="4" w:space="1" w:color="5e1a1f"/>
        </w:pBdr>
      </w:pPr>
      <w:r>
        <w:rPr>
          <w:rFonts w:ascii="IBM Plex Mono" w:hAnsi="IBM Plex Mono" w:cs="IBM Plex Mono" w:eastAsia="IBM Plex Mono"/>
          <w:b/>
          <w:i w:val="0"/>
          <w:color w:val="5E1A1F"/>
          <w:sz w:val="16"/>
          <w:spacing w:val="36"/>
        </w:rPr>
        <w:t>CLOUD &amp; INFRA</w:t>
      </w:r>
    </w:p>
    <w:p>
      <w:pPr>
        <w:keepNext w:val="0"/>
        <w:spacing w:before="40" w:after="40" w:line="348" w:lineRule="auto"/>
      </w:pPr>
      <w:r>
        <w:rPr>
          <w:rFonts w:ascii="IBM Plex Sans" w:hAnsi="IBM Plex Sans" w:cs="IBM Plex Sans" w:eastAsia="IBM Plex Sans"/>
          <w:b w:val="0"/>
          <w:i w:val="0"/>
          <w:color w:val="14181F"/>
          <w:sz w:val="20"/>
        </w:rPr>
        <w:t>Azure (App Service, Functions, Service Bus), Kubernetes, Docker, Terraform</w:t>
      </w:r>
    </w:p>
    <w:p>
      <w:pPr>
        <w:keepNext/>
        <w:spacing w:before="160" w:after="40" w:line="264" w:lineRule="auto"/>
        <w:pBdr>
          <w:bottom w:val="single" w:sz="4" w:space="1" w:color="5e1a1f"/>
        </w:pBdr>
      </w:pPr>
      <w:r>
        <w:rPr>
          <w:rFonts w:ascii="IBM Plex Mono" w:hAnsi="IBM Plex Mono" w:cs="IBM Plex Mono" w:eastAsia="IBM Plex Mono"/>
          <w:b/>
          <w:i w:val="0"/>
          <w:color w:val="5E1A1F"/>
          <w:sz w:val="16"/>
          <w:spacing w:val="36"/>
        </w:rPr>
        <w:t>METHODOLOGY &amp; COMPLIANCE</w:t>
      </w:r>
    </w:p>
    <w:p>
      <w:pPr>
        <w:keepNext w:val="0"/>
        <w:spacing w:before="40" w:after="40" w:line="348" w:lineRule="auto"/>
      </w:pPr>
      <w:r>
        <w:rPr>
          <w:rFonts w:ascii="IBM Plex Sans" w:hAnsi="IBM Plex Sans" w:cs="IBM Plex Sans" w:eastAsia="IBM Plex Sans"/>
          <w:b w:val="0"/>
          <w:i w:val="0"/>
          <w:color w:val="14181F"/>
          <w:sz w:val="20"/>
        </w:rPr>
        <w:t>TDD, CQRS, event sourcing, DDD, ITIL v4, MaRisk, BaFin, GDPR</w:t>
      </w:r>
    </w:p>
    <w:p>
      <w:pPr>
        <w:keepNext/>
        <w:spacing w:before="280" w:after="60" w:line="264" w:lineRule="auto"/>
        <w:pBdr>
          <w:bottom w:val="single" w:sz="6" w:space="1" w:color="5e1a1f"/>
        </w:pBdr>
      </w:pPr>
      <w:r>
        <w:rPr>
          <w:rFonts w:ascii="IBM Plex Mono" w:hAnsi="IBM Plex Mono" w:cs="IBM Plex Mono" w:eastAsia="IBM Plex Mono"/>
          <w:b/>
          <w:i w:val="0"/>
          <w:color w:val="5E1A1F"/>
          <w:sz w:val="17"/>
          <w:spacing w:val="32"/>
        </w:rPr>
        <w:t>PROJECT HISTORY</w:t>
      </w:r>
    </w:p>
    <w:p>
      <w:pPr>
        <w:keepNext w:val="0"/>
        <w:spacing w:before="80" w:after="160" w:line="360" w:lineRule="auto"/>
      </w:pPr>
      <w:r>
        <w:rPr>
          <w:rFonts w:ascii="IBM Plex Sans" w:hAnsi="IBM Plex Sans" w:cs="IBM Plex Sans" w:eastAsia="IBM Plex Sans"/>
          <w:b w:val="0"/>
          <w:i/>
          <w:color w:val="3A4150"/>
          <w:sz w:val="20"/>
        </w:rPr>
        <w:t>One compressed STAR block per project (Situation, Task, Action, Result). Same shape every entry: client/industry · role · period · business context · task · approach · result · technologies. Predictability is part of the design.</w:t>
      </w:r>
    </w:p>
    <w:tbl>
      <w:tblPr>
        <w:tblW w:type="auto" w:w="0"/>
        <w:tblLayout w:type="fixed"/>
        <w:tblLook w:firstColumn="1" w:firstRow="1" w:lastColumn="0" w:lastRow="0" w:noHBand="0" w:noVBand="1" w:val="04A0"/>
      </w:tblPr>
      <w:tblGrid>
        <w:gridCol w:w="1928"/>
        <w:gridCol w:w="4195"/>
        <w:gridCol w:w="3402"/>
      </w:tblGrid>
      <w:tr>
        <w:tc>
          <w:tcPr>
            <w:tcW w:type="dxa" w:w="1928"/>
            <w:vAlign w:val="bottom"/>
            <w:tcBorders>
              <w:bottom w:val="single" w:sz="6" w:color="14181f"/>
            </w:tcBorders>
          </w:tcPr>
          <w:p>
            <w:pPr>
              <w:keepNext w:val="0"/>
              <w:spacing w:before="80" w:after="60" w:line="312" w:lineRule="auto"/>
            </w:pPr>
            <w:r>
              <w:rPr>
                <w:rFonts w:ascii="IBM Plex Mono" w:hAnsi="IBM Plex Mono" w:cs="IBM Plex Mono" w:eastAsia="IBM Plex Mono"/>
                <w:b w:val="0"/>
                <w:i w:val="0"/>
                <w:color w:val="3A4150"/>
                <w:sz w:val="17"/>
              </w:rPr>
              <w:t>MM/YYYY - MM/YYYY</w:t>
            </w:r>
          </w:p>
        </w:tc>
        <w:tc>
          <w:tcPr>
            <w:tcW w:type="dxa" w:w="4195"/>
            <w:vAlign w:val="bottom"/>
            <w:tcBorders>
              <w:bottom w:val="single" w:sz="6" w:color="14181f"/>
            </w:tcBorders>
          </w:tcPr>
          <w:p>
            <w:pPr>
              <w:keepNext w:val="0"/>
              <w:spacing w:before="80" w:after="60" w:line="288" w:lineRule="auto"/>
            </w:pPr>
            <w:r>
              <w:rPr>
                <w:rFonts w:ascii="IBM Plex Sans" w:hAnsi="IBM Plex Sans" w:cs="IBM Plex Sans" w:eastAsia="IBM Plex Sans"/>
                <w:b/>
                <w:i w:val="0"/>
                <w:color w:val="14181F"/>
                <w:sz w:val="26"/>
              </w:rPr>
              <w:t>Insurance</w:t>
            </w:r>
            <w:r>
              <w:rPr>
                <w:rFonts w:ascii="IBM Plex Sans" w:hAnsi="IBM Plex Sans" w:cs="IBM Plex Sans" w:eastAsia="IBM Plex Sans"/>
                <w:b/>
                <w:i w:val="0"/>
                <w:color w:val="14181F"/>
                <w:sz w:val="26"/>
              </w:rPr>
              <w:t xml:space="preserve"> / </w:t>
            </w:r>
            <w:r>
              <w:rPr>
                <w:rFonts w:ascii="IBM Plex Serif" w:hAnsi="IBM Plex Serif" w:cs="IBM Plex Serif" w:eastAsia="IBM Plex Serif"/>
                <w:b w:val="0"/>
                <w:i/>
                <w:color w:val="5E1A1F"/>
                <w:sz w:val="26"/>
              </w:rPr>
              <w:t>DACH</w:t>
            </w:r>
          </w:p>
        </w:tc>
        <w:tc>
          <w:tcPr>
            <w:tcW w:type="dxa" w:w="3402"/>
            <w:vAlign w:val="bottom"/>
            <w:tcBorders>
              <w:bottom w:val="single" w:sz="6" w:color="14181f"/>
            </w:tcBorders>
          </w:tcPr>
          <w:p>
            <w:pPr>
              <w:keepNext w:val="0"/>
              <w:spacing w:before="80" w:after="60" w:line="288" w:lineRule="auto"/>
              <w:jc w:val="right"/>
            </w:pPr>
            <w:r>
              <w:rPr>
                <w:rFonts w:ascii="IBM Plex Mono" w:hAnsi="IBM Plex Mono" w:cs="IBM Plex Mono" w:eastAsia="IBM Plex Mono"/>
                <w:b w:val="0"/>
                <w:i w:val="0"/>
                <w:color w:val="6B7280"/>
                <w:sz w:val="15"/>
                <w:spacing w:val="24"/>
              </w:rPr>
              <w:t>TOP-3 MOTOR INSURER</w:t>
            </w:r>
          </w:p>
        </w:tc>
      </w:tr>
    </w:tbl>
    <w:p>
      <w:pPr>
        <w:keepNext w:val="0"/>
        <w:spacing w:before="160" w:after="80" w:line="336" w:lineRule="auto"/>
      </w:pPr>
      <w:r>
        <w:rPr>
          <w:rFonts w:ascii="IBM Plex Serif" w:hAnsi="IBM Plex Serif" w:cs="IBM Plex Serif" w:eastAsia="IBM Plex Serif"/>
          <w:b w:val="0"/>
          <w:i/>
          <w:color w:val="14181F"/>
          <w:sz w:val="24"/>
        </w:rPr>
        <w:t>Modernisation of policy administration on S/4HANA Cloud, regulator-driven.</w:t>
      </w:r>
    </w:p>
    <w:p>
      <w:pPr>
        <w:keepNext w:val="0"/>
        <w:spacing w:before="40" w:after="160" w:line="360" w:lineRule="auto"/>
      </w:pPr>
      <w:r>
        <w:rPr>
          <w:rFonts w:ascii="IBM Plex Sans" w:hAnsi="IBM Plex Sans" w:cs="IBM Plex Sans" w:eastAsia="IBM Plex Sans"/>
          <w:b w:val="0"/>
          <w:i w:val="0"/>
          <w:color w:val="14181F"/>
          <w:sz w:val="21"/>
        </w:rPr>
        <w:t>Engaged as senior consultant in an 18-month programme to migrate the policy administration system from SAP HANA on-prem to S/4 Cloud. Responsible for architecture decisions in the policy-data bounded context, and for the interface between the business unit, IT security, and external integrators. Delivered in four releases, each with MaRisk audit traces and BaFin requirements on data protection and traceability.</w:t>
      </w:r>
    </w:p>
    <w:p>
      <w:pPr>
        <w:keepNext/>
        <w:spacing w:before="120" w:after="40" w:line="264" w:lineRule="auto"/>
        <w:pBdr>
          <w:bottom w:val="single" w:sz="4" w:space="1" w:color="5e1a1f"/>
        </w:pBdr>
      </w:pPr>
      <w:r>
        <w:rPr>
          <w:rFonts w:ascii="IBM Plex Mono" w:hAnsi="IBM Plex Mono" w:cs="IBM Plex Mono" w:eastAsia="IBM Plex Mono"/>
          <w:b/>
          <w:i w:val="0"/>
          <w:color w:val="5E1A1F"/>
          <w:sz w:val="16"/>
          <w:spacing w:val="36"/>
        </w:rPr>
        <w:t>TECHNOLOGIES</w:t>
      </w:r>
    </w:p>
    <w:p>
      <w:pPr>
        <w:keepNext w:val="0"/>
        <w:spacing w:before="0" w:after="120" w:line="348" w:lineRule="auto"/>
      </w:pPr>
      <w:r>
        <w:rPr>
          <w:rFonts w:ascii="IBM Plex Sans" w:hAnsi="IBM Plex Sans" w:cs="IBM Plex Sans" w:eastAsia="IBM Plex Sans"/>
          <w:b w:val="0"/>
          <w:i w:val="0"/>
          <w:color w:val="14181F"/>
          <w:sz w:val="20"/>
        </w:rPr>
        <w:t>SAP S/4, ABAP, Azure, event sourcing, CQRS, .NET 8, Kubernetes, MaRisk, BaFin, ITIL v4</w:t>
      </w:r>
    </w:p>
    <w:tbl>
      <w:tblPr>
        <w:tblW w:type="auto" w:w="0"/>
        <w:tblLayout w:type="fixed"/>
        <w:tblLook w:firstColumn="1" w:firstRow="1" w:lastColumn="0" w:lastRow="0" w:noHBand="0" w:noVBand="1" w:val="04A0"/>
      </w:tblPr>
      <w:tblGrid>
        <w:gridCol w:w="9524"/>
      </w:tblGrid>
      <w:tr>
        <w:tc>
          <w:tcPr>
            <w:tcW w:type="dxa" w:w="9524"/>
            <w:shd w:val="clear" w:color="auto" w:fill="fbf9f6"/>
            <w:tcBorders>
              <w:left w:val="single" w:sz="12" w:color="5e1a1f"/>
              <w:top w:val="single" w:sz="2" w:color="fbf9f6"/>
              <w:right w:val="single" w:sz="2" w:color="fbf9f6"/>
              <w:bottom w:val="single" w:sz="2" w:color="fbf9f6"/>
            </w:tcBorders>
          </w:tcPr>
          <w:p>
            <w:pPr>
              <w:keepNext w:val="0"/>
              <w:spacing w:before="120" w:after="40" w:line="288" w:lineRule="auto"/>
            </w:pPr>
            <w:r>
              <w:rPr>
                <w:rFonts w:ascii="IBM Plex Mono" w:hAnsi="IBM Plex Mono" w:cs="IBM Plex Mono" w:eastAsia="IBM Plex Mono"/>
                <w:b/>
                <w:i w:val="0"/>
                <w:color w:val="5E1A1F"/>
                <w:sz w:val="15"/>
                <w:spacing w:val="40"/>
              </w:rPr>
              <w:t>RESULT</w:t>
            </w:r>
          </w:p>
          <w:p>
            <w:pPr>
              <w:keepNext w:val="0"/>
              <w:spacing w:before="0" w:after="120" w:line="360" w:lineRule="auto"/>
            </w:pPr>
            <w:r>
              <w:rPr>
                <w:rFonts w:ascii="IBM Plex Sans" w:hAnsi="IBM Plex Sans" w:cs="IBM Plex Sans" w:eastAsia="IBM Plex Sans"/>
                <w:b w:val="0"/>
                <w:i w:val="0"/>
                <w:color w:val="14181F"/>
                <w:sz w:val="20"/>
              </w:rPr>
              <w:t>EUR 4.2M programme volume, on time, 18 months, BaFin audit closed with no findings.</w:t>
            </w:r>
          </w:p>
        </w:tc>
      </w:tr>
    </w:tbl>
    <w:p>
      <w:pPr>
        <w:keepNext w:val="0"/>
        <w:spacing w:before="440" w:after="40" w:line="360" w:lineRule="auto"/>
      </w:pPr>
      <w:r>
        <w:rPr>
          <w:rFonts w:ascii="IBM Plex Mono" w:hAnsi="IBM Plex Mono" w:cs="IBM Plex Mono" w:eastAsia="IBM Plex Mono"/>
          <w:b w:val="0"/>
          <w:i w:val="0"/>
          <w:color w:val="6B7280"/>
          <w:sz w:val="15"/>
          <w:spacing w:val="8"/>
        </w:rPr>
        <w:t>TEMPLATE NOTE · Each list in this template holds at most seven entries. If you need more, split into two named groups rather than extending. No skill bars, no percentages, no decorative icons. Use MM/YYYY - MM/YYYY date format throughout. Filename: CV_Surname_Firstname_YYYY-MM.pdf · Export as PDF/A-1b with embedded fonts and a real text layer.</w:t>
      </w:r>
    </w:p>
    <w:sectPr w:rsidR="00FC693F" w:rsidRPr="0006063C" w:rsidSect="00034616">
      <w:pgSz w:w="11906" w:h="16838"/>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36" w:lineRule="auto"/>
    </w:pPr>
    <w:rPr>
      <w:rFonts w:ascii="IBM Plex Sans" w:hAnsi="IBM Plex Sans"/>
      <w:color w:val="14181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